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68" w:rsidRPr="00F21106" w:rsidRDefault="00B77968" w:rsidP="00B77968">
      <w:pPr>
        <w:pStyle w:val="CharCharCharChar"/>
        <w:ind w:firstLine="720"/>
        <w:jc w:val="both"/>
        <w:rPr>
          <w:rFonts w:ascii="Times New Roman" w:hAnsi="Times New Roman"/>
          <w:b/>
          <w:sz w:val="32"/>
          <w:szCs w:val="32"/>
          <w:lang w:val="bg-BG"/>
        </w:rPr>
      </w:pPr>
      <w:bookmarkStart w:id="0" w:name="_GoBack"/>
      <w:bookmarkEnd w:id="0"/>
      <w:r>
        <w:rPr>
          <w:rFonts w:ascii="Times New Roman" w:hAnsi="Times New Roman"/>
          <w:b/>
          <w:sz w:val="28"/>
          <w:szCs w:val="28"/>
          <w:lang w:val="bg-BG"/>
        </w:rPr>
        <w:t xml:space="preserve">                   </w:t>
      </w:r>
      <w:r w:rsidRPr="00F21106">
        <w:rPr>
          <w:rFonts w:ascii="Times New Roman" w:hAnsi="Times New Roman"/>
          <w:b/>
          <w:sz w:val="32"/>
          <w:szCs w:val="32"/>
          <w:lang w:val="bg-BG"/>
        </w:rPr>
        <w:t>ТЕХНИЧЕСКА СПЕЦИФИКАЦИЯ</w:t>
      </w:r>
    </w:p>
    <w:p w:rsidR="00A75285" w:rsidRDefault="00A75285" w:rsidP="00B77968">
      <w:pPr>
        <w:pStyle w:val="CharCharCharChar"/>
        <w:ind w:firstLine="720"/>
        <w:jc w:val="both"/>
        <w:rPr>
          <w:rFonts w:ascii="Times New Roman" w:hAnsi="Times New Roman"/>
          <w:b/>
          <w:sz w:val="28"/>
          <w:szCs w:val="28"/>
          <w:lang w:val="bg-BG"/>
        </w:rPr>
      </w:pPr>
    </w:p>
    <w:p w:rsidR="00A75285" w:rsidRPr="00064529" w:rsidRDefault="00400A8A" w:rsidP="00B77968">
      <w:pPr>
        <w:pStyle w:val="CharCharCharChar"/>
        <w:ind w:firstLine="720"/>
        <w:jc w:val="both"/>
        <w:rPr>
          <w:rFonts w:ascii="Times New Roman" w:hAnsi="Times New Roman"/>
          <w:b/>
          <w:lang w:val="bg-BG"/>
        </w:rPr>
      </w:pPr>
      <w:r w:rsidRPr="00064529">
        <w:rPr>
          <w:rFonts w:ascii="Times New Roman" w:hAnsi="Times New Roman"/>
          <w:b/>
          <w:lang w:val="bg-BG"/>
        </w:rPr>
        <w:t xml:space="preserve">                           </w:t>
      </w:r>
      <w:r w:rsidR="00064529">
        <w:rPr>
          <w:rFonts w:ascii="Times New Roman" w:hAnsi="Times New Roman"/>
          <w:b/>
          <w:lang w:val="bg-BG"/>
        </w:rPr>
        <w:t xml:space="preserve">           </w:t>
      </w:r>
      <w:r w:rsidRPr="00064529">
        <w:rPr>
          <w:rFonts w:ascii="Times New Roman" w:hAnsi="Times New Roman"/>
          <w:b/>
          <w:lang w:val="bg-BG"/>
        </w:rPr>
        <w:t xml:space="preserve"> </w:t>
      </w:r>
      <w:r w:rsidR="00A75285" w:rsidRPr="00064529">
        <w:rPr>
          <w:rFonts w:ascii="Times New Roman" w:hAnsi="Times New Roman"/>
          <w:b/>
          <w:lang w:val="bg-BG"/>
        </w:rPr>
        <w:t xml:space="preserve"> </w:t>
      </w:r>
      <w:r w:rsidRPr="00064529">
        <w:rPr>
          <w:rFonts w:ascii="Times New Roman" w:hAnsi="Times New Roman"/>
          <w:b/>
          <w:lang w:val="bg-BG"/>
        </w:rPr>
        <w:t>з</w:t>
      </w:r>
      <w:r w:rsidR="00A75285" w:rsidRPr="00064529">
        <w:rPr>
          <w:rFonts w:ascii="Times New Roman" w:hAnsi="Times New Roman"/>
          <w:b/>
          <w:lang w:val="bg-BG"/>
        </w:rPr>
        <w:t>а обособена позиция №2</w:t>
      </w:r>
    </w:p>
    <w:p w:rsidR="00A75285" w:rsidRDefault="00A75285" w:rsidP="005D2338">
      <w:pPr>
        <w:pStyle w:val="CharCharCharChar"/>
        <w:jc w:val="both"/>
        <w:rPr>
          <w:rFonts w:ascii="Times New Roman" w:hAnsi="Times New Roman"/>
          <w:sz w:val="28"/>
          <w:szCs w:val="28"/>
          <w:lang w:val="bg-BG"/>
        </w:rPr>
      </w:pPr>
    </w:p>
    <w:p w:rsidR="00B77968" w:rsidRDefault="00B77968" w:rsidP="00B77968">
      <w:pPr>
        <w:spacing w:after="0"/>
        <w:ind w:firstLine="708"/>
        <w:jc w:val="both"/>
        <w:rPr>
          <w:rFonts w:ascii="Times New Roman" w:hAnsi="Times New Roman" w:cs="Times New Roman"/>
          <w:sz w:val="24"/>
          <w:szCs w:val="24"/>
        </w:rPr>
      </w:pPr>
    </w:p>
    <w:p w:rsidR="00B77968" w:rsidRDefault="00B77968" w:rsidP="00B77968">
      <w:pPr>
        <w:pStyle w:val="a5"/>
        <w:numPr>
          <w:ilvl w:val="0"/>
          <w:numId w:val="1"/>
        </w:numPr>
        <w:ind w:left="0" w:firstLine="0"/>
        <w:jc w:val="both"/>
        <w:rPr>
          <w:rFonts w:ascii="Times New Roman" w:eastAsia="Calibri" w:hAnsi="Times New Roman" w:cs="Times New Roman"/>
          <w:b/>
          <w:i/>
          <w:sz w:val="24"/>
          <w:szCs w:val="24"/>
          <w:u w:val="single"/>
        </w:rPr>
      </w:pPr>
      <w:r>
        <w:rPr>
          <w:rFonts w:ascii="Times New Roman" w:hAnsi="Times New Roman" w:cs="Times New Roman"/>
          <w:b/>
          <w:i/>
          <w:sz w:val="24"/>
          <w:szCs w:val="24"/>
          <w:u w:val="single"/>
        </w:rPr>
        <w:t>ОПИСАНИЕ НА ОСНОВНИТЕ ВИДОВЕ СМР</w:t>
      </w:r>
    </w:p>
    <w:p w:rsidR="00B77968" w:rsidRDefault="00B77968" w:rsidP="00B77968">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Предметът на настоящата обществена поръчка обхваща изпълнението на вътрешен </w:t>
      </w:r>
      <w:r>
        <w:rPr>
          <w:rFonts w:ascii="Times New Roman" w:hAnsi="Times New Roman" w:cs="Times New Roman"/>
          <w:sz w:val="24"/>
          <w:szCs w:val="24"/>
        </w:rPr>
        <w:t xml:space="preserve">и външен ремонт на </w:t>
      </w:r>
      <w:r>
        <w:rPr>
          <w:rFonts w:ascii="Times New Roman" w:eastAsia="Calibri" w:hAnsi="Times New Roman" w:cs="Times New Roman"/>
          <w:sz w:val="24"/>
          <w:szCs w:val="24"/>
        </w:rPr>
        <w:t>сград</w:t>
      </w:r>
      <w:r>
        <w:rPr>
          <w:rFonts w:ascii="Times New Roman" w:hAnsi="Times New Roman" w:cs="Times New Roman"/>
          <w:sz w:val="24"/>
          <w:szCs w:val="24"/>
        </w:rPr>
        <w:t>и</w:t>
      </w:r>
      <w:r>
        <w:rPr>
          <w:rFonts w:ascii="Times New Roman" w:eastAsia="Calibri" w:hAnsi="Times New Roman" w:cs="Times New Roman"/>
          <w:sz w:val="24"/>
          <w:szCs w:val="24"/>
        </w:rPr>
        <w:t xml:space="preserve"> на </w:t>
      </w:r>
      <w:r>
        <w:rPr>
          <w:rFonts w:ascii="Times New Roman" w:hAnsi="Times New Roman" w:cs="Times New Roman"/>
          <w:sz w:val="24"/>
          <w:szCs w:val="24"/>
        </w:rPr>
        <w:t>православния храм</w:t>
      </w:r>
      <w:r>
        <w:rPr>
          <w:rFonts w:ascii="Times New Roman" w:eastAsia="Calibri" w:hAnsi="Times New Roman" w:cs="Times New Roman"/>
          <w:sz w:val="24"/>
          <w:szCs w:val="24"/>
        </w:rPr>
        <w:t xml:space="preserve">, който включва </w:t>
      </w:r>
      <w:r>
        <w:rPr>
          <w:rFonts w:ascii="Times New Roman" w:hAnsi="Times New Roman" w:cs="Times New Roman"/>
          <w:sz w:val="24"/>
          <w:szCs w:val="24"/>
        </w:rPr>
        <w:t xml:space="preserve">изкопни работи, бетонови работи, зидарии, мазилки, направа на метални конструкции за укрепване, направа на дървени покривни конструкции, препокриване със старобългарски керемиди, </w:t>
      </w:r>
      <w:r>
        <w:rPr>
          <w:rFonts w:ascii="Times New Roman" w:eastAsia="Calibri" w:hAnsi="Times New Roman" w:cs="Times New Roman"/>
          <w:sz w:val="24"/>
          <w:szCs w:val="24"/>
        </w:rPr>
        <w:t>подмяна на подови настилки и други.</w:t>
      </w:r>
    </w:p>
    <w:p w:rsidR="00B77968" w:rsidRDefault="00B77968" w:rsidP="00B77968">
      <w:pPr>
        <w:pStyle w:val="a5"/>
        <w:numPr>
          <w:ilvl w:val="0"/>
          <w:numId w:val="1"/>
        </w:numPr>
        <w:ind w:left="0" w:firstLine="0"/>
        <w:rPr>
          <w:rFonts w:ascii="Times New Roman" w:eastAsia="Calibri" w:hAnsi="Times New Roman" w:cs="Times New Roman"/>
          <w:b/>
          <w:i/>
          <w:sz w:val="24"/>
          <w:szCs w:val="24"/>
          <w:u w:val="single"/>
        </w:rPr>
      </w:pPr>
      <w:r>
        <w:rPr>
          <w:rFonts w:ascii="Times New Roman" w:hAnsi="Times New Roman" w:cs="Times New Roman"/>
          <w:b/>
          <w:i/>
          <w:sz w:val="24"/>
          <w:szCs w:val="24"/>
          <w:u w:val="single"/>
        </w:rPr>
        <w:t>ИЗИСКВАНИЯ КЪМ ИЗПЪЛНЕНИЕТО</w:t>
      </w:r>
    </w:p>
    <w:p w:rsidR="00B77968" w:rsidRDefault="00B77968" w:rsidP="00B77968">
      <w:pPr>
        <w:spacing w:after="0" w:line="240" w:lineRule="auto"/>
        <w:ind w:firstLine="709"/>
        <w:jc w:val="both"/>
        <w:rPr>
          <w:rFonts w:ascii="Times New Roman" w:eastAsia="Times New Roman" w:hAnsi="Times New Roman"/>
          <w:sz w:val="24"/>
          <w:szCs w:val="24"/>
          <w:lang w:eastAsia="bg-BG"/>
        </w:rPr>
      </w:pPr>
      <w:r>
        <w:rPr>
          <w:rFonts w:ascii="Times New Roman" w:hAnsi="Times New Roman"/>
          <w:sz w:val="24"/>
          <w:szCs w:val="24"/>
        </w:rPr>
        <w:t>Обектът е паметник на културата от национално значение и е под закрилата на Закона за културното наследство (2009 г.). Съгласно изискванията на Националния институт за</w:t>
      </w:r>
      <w:r>
        <w:rPr>
          <w:rFonts w:ascii="Times New Roman" w:eastAsia="Times New Roman" w:hAnsi="Times New Roman"/>
          <w:sz w:val="24"/>
          <w:szCs w:val="24"/>
          <w:lang w:eastAsia="bg-BG"/>
        </w:rPr>
        <w:t xml:space="preserve"> недвижимо културно наследство при Министерство на културата преди започването на строително-ремонтните работи е необходимо да се изготви оценка от специалист художник-реставратор, вписан в публичния регистър по чл.165 от Закона за културното наследство, за вида и състоянието на наличните художествени ценности – стенописи, иконостас, икони, проскинетарии, владишки трон и друга църковна утвар във връзка с опазването им по време на строителството, както и за съхраняването и реставрацията им.</w:t>
      </w:r>
    </w:p>
    <w:p w:rsidR="00B77968" w:rsidRDefault="00B77968" w:rsidP="00B77968">
      <w:pPr>
        <w:spacing w:after="0"/>
        <w:ind w:firstLine="708"/>
        <w:jc w:val="both"/>
        <w:rPr>
          <w:rFonts w:ascii="Times New Roman" w:hAnsi="Times New Roman" w:cs="Times New Roman"/>
          <w:sz w:val="24"/>
          <w:szCs w:val="24"/>
        </w:rPr>
      </w:pPr>
      <w:r>
        <w:rPr>
          <w:rFonts w:ascii="Times New Roman" w:hAnsi="Times New Roman" w:cs="Times New Roman"/>
          <w:sz w:val="24"/>
          <w:szCs w:val="24"/>
        </w:rPr>
        <w:t>Ремонтните работи трябва да бъдат извършени в съответствие с изискванията за качество, съгласно действащите нормативни уредби, като влаганите материали следва да имат качество по БДС или EN и отговарящо на гаранционните срокове.</w:t>
      </w:r>
    </w:p>
    <w:p w:rsidR="00B77968" w:rsidRDefault="00B77968" w:rsidP="00B77968">
      <w:pPr>
        <w:tabs>
          <w:tab w:val="left" w:pos="360"/>
          <w:tab w:val="left" w:pos="540"/>
          <w:tab w:val="num" w:pos="900"/>
        </w:tabs>
        <w:spacing w:after="0"/>
        <w:ind w:firstLine="709"/>
        <w:jc w:val="both"/>
        <w:rPr>
          <w:rFonts w:ascii="Times New Roman" w:hAnsi="Times New Roman" w:cs="Times New Roman"/>
          <w:sz w:val="24"/>
          <w:szCs w:val="24"/>
        </w:rPr>
      </w:pPr>
      <w:r>
        <w:rPr>
          <w:rFonts w:ascii="Times New Roman" w:hAnsi="Times New Roman" w:cs="Times New Roman"/>
          <w:sz w:val="24"/>
          <w:szCs w:val="24"/>
        </w:rPr>
        <w:t>Изпълнението на строително-ремонтните  работи (СРР) е на основание одобрена КСС, при спазване на изискванията на всички действащи към настоящия момент закони, правилници и нормативи, касаещи изпълнението на обекти от такъв характер.</w:t>
      </w:r>
    </w:p>
    <w:p w:rsidR="00B77968" w:rsidRDefault="00B77968" w:rsidP="00B77968">
      <w:pPr>
        <w:tabs>
          <w:tab w:val="left" w:pos="360"/>
          <w:tab w:val="left" w:pos="540"/>
        </w:tabs>
        <w:spacing w:after="0"/>
        <w:ind w:firstLine="709"/>
        <w:jc w:val="both"/>
        <w:rPr>
          <w:rFonts w:ascii="Times New Roman" w:hAnsi="Times New Roman" w:cs="Times New Roman"/>
          <w:sz w:val="24"/>
          <w:szCs w:val="24"/>
        </w:rPr>
      </w:pPr>
      <w:r>
        <w:rPr>
          <w:rFonts w:ascii="Times New Roman" w:hAnsi="Times New Roman" w:cs="Times New Roman"/>
          <w:sz w:val="24"/>
          <w:szCs w:val="24"/>
        </w:rPr>
        <w:t>Строителните продукти да отговарят на следните технически спецификации:</w:t>
      </w:r>
    </w:p>
    <w:p w:rsidR="00B77968" w:rsidRDefault="00B77968" w:rsidP="00B77968">
      <w:pPr>
        <w:pStyle w:val="Style"/>
        <w:numPr>
          <w:ilvl w:val="0"/>
          <w:numId w:val="2"/>
        </w:numPr>
        <w:tabs>
          <w:tab w:val="left" w:pos="360"/>
          <w:tab w:val="left" w:pos="540"/>
        </w:tabs>
        <w:ind w:left="709" w:right="0" w:firstLine="0"/>
        <w:rPr>
          <w:lang w:eastAsia="en-US"/>
        </w:rPr>
      </w:pPr>
      <w:r>
        <w:rPr>
          <w:lang w:eastAsia="en-US"/>
        </w:rPr>
        <w:t>български стандарти, с които се въвеждат хармонизирани европейски стандарти, или</w:t>
      </w:r>
    </w:p>
    <w:p w:rsidR="00B77968" w:rsidRDefault="00B77968" w:rsidP="00B77968">
      <w:pPr>
        <w:pStyle w:val="Style"/>
        <w:numPr>
          <w:ilvl w:val="0"/>
          <w:numId w:val="2"/>
        </w:numPr>
        <w:tabs>
          <w:tab w:val="left" w:pos="360"/>
          <w:tab w:val="left" w:pos="540"/>
        </w:tabs>
        <w:ind w:left="709" w:right="0" w:firstLine="0"/>
        <w:rPr>
          <w:lang w:eastAsia="en-US"/>
        </w:rPr>
      </w:pPr>
      <w:r>
        <w:rPr>
          <w:lang w:eastAsia="en-US"/>
        </w:rPr>
        <w:t>европейско техническо одобрение (със или без ръководство), или</w:t>
      </w:r>
    </w:p>
    <w:p w:rsidR="00B77968" w:rsidRDefault="00B77968" w:rsidP="00B77968">
      <w:pPr>
        <w:pStyle w:val="Style"/>
        <w:numPr>
          <w:ilvl w:val="0"/>
          <w:numId w:val="2"/>
        </w:numPr>
        <w:tabs>
          <w:tab w:val="left" w:pos="360"/>
          <w:tab w:val="left" w:pos="540"/>
        </w:tabs>
        <w:ind w:left="709" w:right="0" w:firstLine="0"/>
        <w:rPr>
          <w:lang w:eastAsia="en-US"/>
        </w:rPr>
      </w:pPr>
      <w:r>
        <w:rPr>
          <w:lang w:eastAsia="en-US"/>
        </w:rPr>
        <w:t>признати национални технически спецификации (национални стандарти), когато не съществуват технически спецификации.</w:t>
      </w:r>
    </w:p>
    <w:p w:rsidR="00B77968" w:rsidRDefault="00B77968" w:rsidP="00B77968">
      <w:pPr>
        <w:pStyle w:val="Style"/>
        <w:numPr>
          <w:ilvl w:val="0"/>
          <w:numId w:val="2"/>
        </w:numPr>
        <w:tabs>
          <w:tab w:val="left" w:pos="360"/>
          <w:tab w:val="left" w:pos="540"/>
        </w:tabs>
        <w:ind w:left="709" w:right="0" w:firstLine="0"/>
        <w:rPr>
          <w:b/>
        </w:rPr>
      </w:pPr>
      <w:r>
        <w:t>да се представят сертификати, издадени от акредитирани лица за сертификация на системи за управление на качеството и/ или за сертификация на продукти, или от лица, получили разрешение по глава трета от Закона за техническите изисквания към продуктите;</w:t>
      </w:r>
    </w:p>
    <w:p w:rsidR="00B77968" w:rsidRDefault="00B77968" w:rsidP="00B77968">
      <w:pPr>
        <w:pStyle w:val="Style"/>
        <w:tabs>
          <w:tab w:val="left" w:pos="360"/>
          <w:tab w:val="left" w:pos="540"/>
        </w:tabs>
        <w:ind w:left="709" w:right="0" w:firstLine="0"/>
        <w:rPr>
          <w:b/>
        </w:rPr>
      </w:pPr>
    </w:p>
    <w:p w:rsidR="00B77968" w:rsidRDefault="00B77968" w:rsidP="00B77968">
      <w:pPr>
        <w:pStyle w:val="Style"/>
        <w:tabs>
          <w:tab w:val="left" w:pos="360"/>
          <w:tab w:val="left" w:pos="540"/>
        </w:tabs>
        <w:ind w:left="0" w:right="0" w:firstLine="709"/>
      </w:pPr>
      <w:r>
        <w:t>Качеството на влаганите материали</w:t>
      </w:r>
      <w:r>
        <w:rPr>
          <w:b/>
        </w:rPr>
        <w:t xml:space="preserve"> </w:t>
      </w:r>
      <w:r>
        <w:t>ще се доказва с декларация за съответствието на строителния продукт подписана и подпечатана от производителя или негов представител – (съгласно Наредба за съществените изисквания към строежите и оценяване съответствието на строителните продукти, приета с ПМС № 325 от 06.12.2006 г.). Влаганите строителни материали трябва да бъдат придружени с декларация за съответствие и с указания за прилагане на български език, съставени от производителя или от неговия упълномощен представител.</w:t>
      </w:r>
    </w:p>
    <w:p w:rsidR="00B77968" w:rsidRDefault="00B77968" w:rsidP="00B77968">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Участникът трябва да докаже произхода на основните строителни материали, които ще бъдат използвани за обекта и които ще бъдат придобити от Възложителя вследствие на договора да изпълнение.</w:t>
      </w:r>
    </w:p>
    <w:p w:rsidR="00B77968" w:rsidRDefault="00B77968" w:rsidP="00B77968">
      <w:pPr>
        <w:spacing w:after="0"/>
        <w:ind w:firstLine="708"/>
        <w:jc w:val="both"/>
        <w:rPr>
          <w:rStyle w:val="timark"/>
          <w:bCs/>
        </w:rPr>
      </w:pPr>
      <w:r>
        <w:rPr>
          <w:rStyle w:val="timark"/>
          <w:rFonts w:ascii="Times New Roman" w:hAnsi="Times New Roman" w:cs="Times New Roman"/>
          <w:bCs/>
          <w:sz w:val="24"/>
          <w:szCs w:val="24"/>
        </w:rPr>
        <w:t>При извършването на строително-ремонтните работи следва да се изготвят изискващите се протоколи и актове съгласно Наредба № 3/2003 г. за съставяне на актове и протоколи по време на строителството.</w:t>
      </w:r>
    </w:p>
    <w:p w:rsidR="00B77968" w:rsidRDefault="00B77968" w:rsidP="00B77968">
      <w:pPr>
        <w:pStyle w:val="a3"/>
        <w:tabs>
          <w:tab w:val="num" w:pos="0"/>
        </w:tabs>
        <w:spacing w:after="0"/>
        <w:ind w:right="-1" w:firstLine="709"/>
        <w:jc w:val="both"/>
      </w:pPr>
      <w:r>
        <w:t>Предаването и приемането на извършените СРР – предмет на настоящата поръчка ще се удостоверява със съставяне на Констативен протокол за установяване на действително извършени работи, двустранно подписан от представители на страните по Договора. Всеки констативен протокол се придружава от необходимите сертификати за качество на вложените материали, протоколи съставени по реда Наредба № 3 за съставяне на актове и протоколи по време на строителството, декларации за съответствие на вложените материали със съществените изисквания към строителните продукти.</w:t>
      </w:r>
    </w:p>
    <w:p w:rsidR="00B77968" w:rsidRDefault="00B77968" w:rsidP="00B77968">
      <w:pPr>
        <w:spacing w:after="0"/>
        <w:ind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 се спазва НАРЕДБА № 2 от 22.03.2004 г. за минималните изисквания за здравословни и безопасни условия на труд при извършване на строителни и монтажни работи. </w:t>
      </w:r>
    </w:p>
    <w:p w:rsidR="00B77968" w:rsidRDefault="00B77968" w:rsidP="00B77968">
      <w:pPr>
        <w:spacing w:after="0"/>
        <w:ind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От Изпълнителя се изисква по време на извършване на строително-ремонтните дейности да се спазват изискванията на нормативната уредба по опазване на околната среда.</w:t>
      </w:r>
    </w:p>
    <w:p w:rsidR="00B77968" w:rsidRDefault="00B77968" w:rsidP="00B77968">
      <w:pPr>
        <w:spacing w:after="0"/>
        <w:ind w:right="-1" w:firstLine="709"/>
        <w:jc w:val="both"/>
        <w:rPr>
          <w:rFonts w:ascii="Times New Roman" w:eastAsia="Calibri" w:hAnsi="Times New Roman" w:cs="Times New Roman"/>
          <w:iCs/>
          <w:sz w:val="24"/>
          <w:szCs w:val="24"/>
          <w:lang w:val="ru-RU"/>
        </w:rPr>
      </w:pPr>
      <w:r>
        <w:rPr>
          <w:rFonts w:ascii="Times New Roman" w:eastAsia="Calibri" w:hAnsi="Times New Roman" w:cs="Times New Roman"/>
          <w:iCs/>
          <w:sz w:val="24"/>
          <w:szCs w:val="24"/>
          <w:lang w:val="ru-RU"/>
        </w:rPr>
        <w:t>От спечелилия участник в процедурата, след сключване на договора, се очаква задачата да бъде изпълнена в определения  срок, при спазване разпоредбите на действащата нормативна уредба</w:t>
      </w:r>
      <w:r>
        <w:rPr>
          <w:rFonts w:ascii="Times New Roman" w:eastAsia="Calibri" w:hAnsi="Times New Roman" w:cs="Times New Roman"/>
          <w:sz w:val="24"/>
          <w:szCs w:val="24"/>
          <w:lang w:val="ru-RU"/>
        </w:rPr>
        <w:t xml:space="preserve"> </w:t>
      </w:r>
      <w:r>
        <w:rPr>
          <w:rFonts w:ascii="Times New Roman" w:eastAsia="Calibri" w:hAnsi="Times New Roman" w:cs="Times New Roman"/>
          <w:iCs/>
          <w:sz w:val="24"/>
          <w:szCs w:val="24"/>
          <w:lang w:val="ru-RU"/>
        </w:rPr>
        <w:t>и Техническата спецификация, отнасящи се до изпълняваните дейности, които са неразделна част от документацията</w:t>
      </w:r>
      <w:r w:rsidR="006D2DB4">
        <w:rPr>
          <w:rFonts w:ascii="Times New Roman" w:eastAsia="Calibri" w:hAnsi="Times New Roman" w:cs="Times New Roman"/>
          <w:iCs/>
          <w:sz w:val="24"/>
          <w:szCs w:val="24"/>
          <w:lang w:val="ru-RU"/>
        </w:rPr>
        <w:t xml:space="preserve"> за участие</w:t>
      </w:r>
      <w:r>
        <w:rPr>
          <w:rFonts w:ascii="Times New Roman" w:eastAsia="Calibri" w:hAnsi="Times New Roman" w:cs="Times New Roman"/>
          <w:iCs/>
          <w:sz w:val="24"/>
          <w:szCs w:val="24"/>
          <w:lang w:val="ru-RU"/>
        </w:rPr>
        <w:t xml:space="preserve">. </w:t>
      </w:r>
    </w:p>
    <w:p w:rsidR="00B77968" w:rsidRDefault="00B77968" w:rsidP="00B77968">
      <w:pPr>
        <w:spacing w:after="0"/>
        <w:ind w:right="-1" w:firstLine="851"/>
        <w:jc w:val="both"/>
        <w:rPr>
          <w:rStyle w:val="timark"/>
          <w:bCs/>
        </w:rPr>
      </w:pPr>
    </w:p>
    <w:p w:rsidR="00B77968" w:rsidRDefault="00B77968" w:rsidP="00B77968"/>
    <w:p w:rsidR="00280A3B" w:rsidRDefault="00280A3B"/>
    <w:sectPr w:rsidR="00280A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436B1"/>
    <w:multiLevelType w:val="hybridMultilevel"/>
    <w:tmpl w:val="922AE3AE"/>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
    <w:nsid w:val="65FB139A"/>
    <w:multiLevelType w:val="hybridMultilevel"/>
    <w:tmpl w:val="6520D10A"/>
    <w:lvl w:ilvl="0" w:tplc="607848DA">
      <w:numFmt w:val="bullet"/>
      <w:lvlText w:val="-"/>
      <w:lvlJc w:val="left"/>
      <w:pPr>
        <w:ind w:left="1067" w:hanging="360"/>
      </w:pPr>
      <w:rPr>
        <w:rFonts w:ascii="Times New Roman" w:eastAsia="Times New Roman" w:hAnsi="Times New Roman" w:cs="Times New Roman" w:hint="default"/>
      </w:rPr>
    </w:lvl>
    <w:lvl w:ilvl="1" w:tplc="04020003">
      <w:start w:val="1"/>
      <w:numFmt w:val="bullet"/>
      <w:lvlText w:val="o"/>
      <w:lvlJc w:val="left"/>
      <w:pPr>
        <w:ind w:left="1787" w:hanging="360"/>
      </w:pPr>
      <w:rPr>
        <w:rFonts w:ascii="Courier New" w:hAnsi="Courier New" w:cs="Courier New" w:hint="default"/>
      </w:rPr>
    </w:lvl>
    <w:lvl w:ilvl="2" w:tplc="04020005">
      <w:start w:val="1"/>
      <w:numFmt w:val="bullet"/>
      <w:lvlText w:val=""/>
      <w:lvlJc w:val="left"/>
      <w:pPr>
        <w:ind w:left="2507" w:hanging="360"/>
      </w:pPr>
      <w:rPr>
        <w:rFonts w:ascii="Wingdings" w:hAnsi="Wingdings" w:hint="default"/>
      </w:rPr>
    </w:lvl>
    <w:lvl w:ilvl="3" w:tplc="04020001">
      <w:start w:val="1"/>
      <w:numFmt w:val="bullet"/>
      <w:lvlText w:val=""/>
      <w:lvlJc w:val="left"/>
      <w:pPr>
        <w:ind w:left="3227" w:hanging="360"/>
      </w:pPr>
      <w:rPr>
        <w:rFonts w:ascii="Symbol" w:hAnsi="Symbol" w:hint="default"/>
      </w:rPr>
    </w:lvl>
    <w:lvl w:ilvl="4" w:tplc="04020003">
      <w:start w:val="1"/>
      <w:numFmt w:val="bullet"/>
      <w:lvlText w:val="o"/>
      <w:lvlJc w:val="left"/>
      <w:pPr>
        <w:ind w:left="3947" w:hanging="360"/>
      </w:pPr>
      <w:rPr>
        <w:rFonts w:ascii="Courier New" w:hAnsi="Courier New" w:cs="Courier New" w:hint="default"/>
      </w:rPr>
    </w:lvl>
    <w:lvl w:ilvl="5" w:tplc="04020005">
      <w:start w:val="1"/>
      <w:numFmt w:val="bullet"/>
      <w:lvlText w:val=""/>
      <w:lvlJc w:val="left"/>
      <w:pPr>
        <w:ind w:left="4667" w:hanging="360"/>
      </w:pPr>
      <w:rPr>
        <w:rFonts w:ascii="Wingdings" w:hAnsi="Wingdings" w:hint="default"/>
      </w:rPr>
    </w:lvl>
    <w:lvl w:ilvl="6" w:tplc="04020001">
      <w:start w:val="1"/>
      <w:numFmt w:val="bullet"/>
      <w:lvlText w:val=""/>
      <w:lvlJc w:val="left"/>
      <w:pPr>
        <w:ind w:left="5387" w:hanging="360"/>
      </w:pPr>
      <w:rPr>
        <w:rFonts w:ascii="Symbol" w:hAnsi="Symbol" w:hint="default"/>
      </w:rPr>
    </w:lvl>
    <w:lvl w:ilvl="7" w:tplc="04020003">
      <w:start w:val="1"/>
      <w:numFmt w:val="bullet"/>
      <w:lvlText w:val="o"/>
      <w:lvlJc w:val="left"/>
      <w:pPr>
        <w:ind w:left="6107" w:hanging="360"/>
      </w:pPr>
      <w:rPr>
        <w:rFonts w:ascii="Courier New" w:hAnsi="Courier New" w:cs="Courier New" w:hint="default"/>
      </w:rPr>
    </w:lvl>
    <w:lvl w:ilvl="8" w:tplc="04020005">
      <w:start w:val="1"/>
      <w:numFmt w:val="bullet"/>
      <w:lvlText w:val=""/>
      <w:lvlJc w:val="left"/>
      <w:pPr>
        <w:ind w:left="682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968"/>
    <w:rsid w:val="00064529"/>
    <w:rsid w:val="000E3B42"/>
    <w:rsid w:val="00280A3B"/>
    <w:rsid w:val="00400A8A"/>
    <w:rsid w:val="005D2338"/>
    <w:rsid w:val="006D2DB4"/>
    <w:rsid w:val="00A75285"/>
    <w:rsid w:val="00B77968"/>
    <w:rsid w:val="00F211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9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77968"/>
    <w:pPr>
      <w:spacing w:after="120" w:line="240" w:lineRule="auto"/>
    </w:pPr>
    <w:rPr>
      <w:rFonts w:ascii="Times New Roman" w:eastAsia="Times New Roman" w:hAnsi="Times New Roman" w:cs="Times New Roman"/>
      <w:sz w:val="24"/>
      <w:szCs w:val="24"/>
      <w:lang w:eastAsia="bg-BG"/>
    </w:rPr>
  </w:style>
  <w:style w:type="character" w:customStyle="1" w:styleId="a4">
    <w:name w:val="Основен текст Знак"/>
    <w:basedOn w:val="a0"/>
    <w:link w:val="a3"/>
    <w:semiHidden/>
    <w:rsid w:val="00B77968"/>
    <w:rPr>
      <w:rFonts w:ascii="Times New Roman" w:eastAsia="Times New Roman" w:hAnsi="Times New Roman" w:cs="Times New Roman"/>
      <w:sz w:val="24"/>
      <w:szCs w:val="24"/>
      <w:lang w:eastAsia="bg-BG"/>
    </w:rPr>
  </w:style>
  <w:style w:type="paragraph" w:styleId="a5">
    <w:name w:val="List Paragraph"/>
    <w:basedOn w:val="a"/>
    <w:uiPriority w:val="34"/>
    <w:qFormat/>
    <w:rsid w:val="00B77968"/>
    <w:pPr>
      <w:ind w:left="720"/>
      <w:contextualSpacing/>
    </w:pPr>
  </w:style>
  <w:style w:type="character" w:customStyle="1" w:styleId="CharCharCharCharChar">
    <w:name w:val="Char Char Char Char Char"/>
    <w:basedOn w:val="a0"/>
    <w:link w:val="CharCharCharChar"/>
    <w:locked/>
    <w:rsid w:val="00B77968"/>
    <w:rPr>
      <w:rFonts w:ascii="Tahoma" w:eastAsia="Times New Roman" w:hAnsi="Tahoma" w:cs="Times New Roman"/>
      <w:sz w:val="24"/>
      <w:szCs w:val="24"/>
      <w:lang w:val="pl-PL" w:eastAsia="pl-PL"/>
    </w:rPr>
  </w:style>
  <w:style w:type="paragraph" w:customStyle="1" w:styleId="CharCharCharChar">
    <w:name w:val="Char Char Char Char"/>
    <w:basedOn w:val="a"/>
    <w:link w:val="CharCharCharCharChar"/>
    <w:rsid w:val="00B77968"/>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rsid w:val="00B7796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timark">
    <w:name w:val="timark"/>
    <w:basedOn w:val="a0"/>
    <w:rsid w:val="00B77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9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77968"/>
    <w:pPr>
      <w:spacing w:after="120" w:line="240" w:lineRule="auto"/>
    </w:pPr>
    <w:rPr>
      <w:rFonts w:ascii="Times New Roman" w:eastAsia="Times New Roman" w:hAnsi="Times New Roman" w:cs="Times New Roman"/>
      <w:sz w:val="24"/>
      <w:szCs w:val="24"/>
      <w:lang w:eastAsia="bg-BG"/>
    </w:rPr>
  </w:style>
  <w:style w:type="character" w:customStyle="1" w:styleId="a4">
    <w:name w:val="Основен текст Знак"/>
    <w:basedOn w:val="a0"/>
    <w:link w:val="a3"/>
    <w:semiHidden/>
    <w:rsid w:val="00B77968"/>
    <w:rPr>
      <w:rFonts w:ascii="Times New Roman" w:eastAsia="Times New Roman" w:hAnsi="Times New Roman" w:cs="Times New Roman"/>
      <w:sz w:val="24"/>
      <w:szCs w:val="24"/>
      <w:lang w:eastAsia="bg-BG"/>
    </w:rPr>
  </w:style>
  <w:style w:type="paragraph" w:styleId="a5">
    <w:name w:val="List Paragraph"/>
    <w:basedOn w:val="a"/>
    <w:uiPriority w:val="34"/>
    <w:qFormat/>
    <w:rsid w:val="00B77968"/>
    <w:pPr>
      <w:ind w:left="720"/>
      <w:contextualSpacing/>
    </w:pPr>
  </w:style>
  <w:style w:type="character" w:customStyle="1" w:styleId="CharCharCharCharChar">
    <w:name w:val="Char Char Char Char Char"/>
    <w:basedOn w:val="a0"/>
    <w:link w:val="CharCharCharChar"/>
    <w:locked/>
    <w:rsid w:val="00B77968"/>
    <w:rPr>
      <w:rFonts w:ascii="Tahoma" w:eastAsia="Times New Roman" w:hAnsi="Tahoma" w:cs="Times New Roman"/>
      <w:sz w:val="24"/>
      <w:szCs w:val="24"/>
      <w:lang w:val="pl-PL" w:eastAsia="pl-PL"/>
    </w:rPr>
  </w:style>
  <w:style w:type="paragraph" w:customStyle="1" w:styleId="CharCharCharChar">
    <w:name w:val="Char Char Char Char"/>
    <w:basedOn w:val="a"/>
    <w:link w:val="CharCharCharCharChar"/>
    <w:rsid w:val="00B77968"/>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rsid w:val="00B7796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timark">
    <w:name w:val="timark"/>
    <w:basedOn w:val="a0"/>
    <w:rsid w:val="00B77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0</DocSecurity>
  <Lines>30</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Noneva</dc:creator>
  <cp:lastModifiedBy>User</cp:lastModifiedBy>
  <cp:revision>2</cp:revision>
  <dcterms:created xsi:type="dcterms:W3CDTF">2015-03-27T11:44:00Z</dcterms:created>
  <dcterms:modified xsi:type="dcterms:W3CDTF">2015-03-27T11:44:00Z</dcterms:modified>
</cp:coreProperties>
</file>